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571A1514"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CB2680">
        <w:rPr>
          <w:rFonts w:cs="Arial"/>
          <w:szCs w:val="22"/>
          <w:lang w:eastAsia="en-US"/>
        </w:rPr>
        <w:t xml:space="preserve">Registro de Preços com contratação simultânea, restrito às empresas declaradas pré-qualificadas através da </w:t>
      </w:r>
      <w:r w:rsidR="00CB2680" w:rsidRPr="00B520C7">
        <w:rPr>
          <w:rFonts w:cs="Arial"/>
          <w:b/>
          <w:bCs/>
          <w:szCs w:val="22"/>
          <w:lang w:eastAsia="en-US"/>
        </w:rPr>
        <w:t xml:space="preserve">PQ </w:t>
      </w:r>
      <w:r w:rsidR="00CB2680">
        <w:rPr>
          <w:rFonts w:cs="Arial"/>
          <w:b/>
          <w:bCs/>
          <w:szCs w:val="22"/>
          <w:lang w:eastAsia="en-US"/>
        </w:rPr>
        <w:t xml:space="preserve">Nº </w:t>
      </w:r>
      <w:r w:rsidR="00CB2680" w:rsidRPr="00B520C7">
        <w:rPr>
          <w:rFonts w:cs="Arial"/>
          <w:b/>
          <w:bCs/>
          <w:szCs w:val="22"/>
          <w:lang w:eastAsia="en-US"/>
        </w:rPr>
        <w:t>1237/2024</w:t>
      </w:r>
      <w:r w:rsidR="00CB2680">
        <w:rPr>
          <w:rFonts w:cs="Arial"/>
          <w:szCs w:val="22"/>
          <w:lang w:eastAsia="en-US"/>
        </w:rPr>
        <w:t>, para a prestação de serviços</w:t>
      </w:r>
      <w:r w:rsidR="00CB2680" w:rsidRPr="00FA3445">
        <w:rPr>
          <w:rFonts w:cs="Arial"/>
          <w:szCs w:val="22"/>
          <w:lang w:eastAsia="en-US"/>
        </w:rPr>
        <w:t xml:space="preserve"> de </w:t>
      </w:r>
      <w:r w:rsidR="00CB2680">
        <w:rPr>
          <w:rFonts w:cs="Arial"/>
          <w:szCs w:val="22"/>
          <w:lang w:eastAsia="en-US"/>
        </w:rPr>
        <w:t>pintura, para unidades</w:t>
      </w:r>
      <w:r w:rsidR="00CB2680" w:rsidRPr="00FA3445">
        <w:rPr>
          <w:rFonts w:cs="Arial"/>
          <w:szCs w:val="22"/>
          <w:lang w:eastAsia="en-US"/>
        </w:rPr>
        <w:t xml:space="preserve"> da </w:t>
      </w:r>
      <w:r w:rsidR="00CB2680">
        <w:rPr>
          <w:rFonts w:cs="Arial"/>
          <w:szCs w:val="22"/>
          <w:lang w:eastAsia="en-US"/>
        </w:rPr>
        <w:t>CAIXA</w:t>
      </w:r>
      <w:r w:rsidR="00CB2680" w:rsidRPr="00FA3445">
        <w:rPr>
          <w:rFonts w:cs="Arial"/>
          <w:szCs w:val="22"/>
          <w:lang w:eastAsia="en-US"/>
        </w:rPr>
        <w:t xml:space="preserve"> </w:t>
      </w:r>
      <w:r w:rsidR="00CB2680">
        <w:rPr>
          <w:rFonts w:cs="Arial"/>
          <w:szCs w:val="22"/>
          <w:lang w:eastAsia="en-US"/>
        </w:rPr>
        <w:t xml:space="preserve">vinculadas às </w:t>
      </w:r>
      <w:r w:rsidR="00CB2680" w:rsidRPr="00CB2680">
        <w:rPr>
          <w:rFonts w:cs="Arial"/>
          <w:b/>
          <w:bCs/>
          <w:szCs w:val="22"/>
          <w:highlight w:val="yellow"/>
          <w:lang w:eastAsia="en-US"/>
        </w:rPr>
        <w:t>superintendências do centro-oeste do país:</w:t>
      </w:r>
      <w:r w:rsidR="00CB2680">
        <w:rPr>
          <w:rFonts w:cs="Arial"/>
          <w:szCs w:val="22"/>
          <w:lang w:eastAsia="en-US"/>
        </w:rPr>
        <w:t xml:space="preserve"> </w:t>
      </w:r>
      <w:r w:rsidR="00CB2680" w:rsidRPr="00CB2680">
        <w:rPr>
          <w:rFonts w:cs="Arial"/>
          <w:b/>
          <w:bCs/>
          <w:szCs w:val="22"/>
          <w:highlight w:val="yellow"/>
          <w:lang w:eastAsia="en-US"/>
        </w:rPr>
        <w:t>Item I (SR Norte de Goiás e SR Sul de Goiás)</w:t>
      </w:r>
      <w:r w:rsidR="00CB2680" w:rsidRPr="00CB2680">
        <w:rPr>
          <w:rFonts w:cs="Arial"/>
          <w:szCs w:val="22"/>
          <w:highlight w:val="yellow"/>
          <w:lang w:eastAsia="en-US"/>
        </w:rPr>
        <w:t xml:space="preserve">, </w:t>
      </w:r>
      <w:r w:rsidR="00CB2680" w:rsidRPr="00CB2680">
        <w:rPr>
          <w:rFonts w:cs="Arial"/>
          <w:b/>
          <w:bCs/>
          <w:szCs w:val="22"/>
          <w:highlight w:val="yellow"/>
          <w:lang w:eastAsia="en-US"/>
        </w:rPr>
        <w:t>Item II (SR Brasília Norte e SR Brasília Sul), Item III (SR Mato Grosso) e Item IV (SR Mato Grosso do Sul)</w:t>
      </w:r>
      <w:r w:rsidR="00CB2680" w:rsidRPr="00CB2680">
        <w:rPr>
          <w:rFonts w:cs="Arial"/>
          <w:szCs w:val="22"/>
          <w:highlight w:val="yellow"/>
          <w:lang w:eastAsia="en-US"/>
        </w:rPr>
        <w:t>.</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04592759"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r w:rsidR="00432891">
        <w:rPr>
          <w:rFonts w:cs="Arial"/>
          <w:b/>
          <w:szCs w:val="22"/>
        </w:rPr>
        <w:t>:</w:t>
      </w:r>
    </w:p>
    <w:p w14:paraId="3200C2EF" w14:textId="6EC5FC1F"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 xml:space="preserve">ela Centralizadora </w:t>
      </w:r>
      <w:r w:rsidR="00CB2680">
        <w:rPr>
          <w:rFonts w:cs="Arial"/>
          <w:bCs/>
          <w:szCs w:val="22"/>
        </w:rPr>
        <w:t xml:space="preserve">Regional </w:t>
      </w:r>
      <w:r w:rsidR="00960446">
        <w:rPr>
          <w:rFonts w:cs="Arial"/>
          <w:bCs/>
          <w:szCs w:val="22"/>
        </w:rPr>
        <w:t>de Infraestrutura e</w:t>
      </w:r>
      <w:r w:rsidR="00D04CC9">
        <w:rPr>
          <w:rFonts w:cs="Arial"/>
          <w:bCs/>
          <w:szCs w:val="22"/>
        </w:rPr>
        <w:t xml:space="preserve"> Logística</w:t>
      </w:r>
      <w:r w:rsidRPr="00CB6E85">
        <w:rPr>
          <w:rFonts w:cs="Arial"/>
          <w:bCs/>
          <w:szCs w:val="22"/>
        </w:rPr>
        <w:t xml:space="preserve"> </w:t>
      </w:r>
      <w:r w:rsidR="00D04CC9">
        <w:rPr>
          <w:rFonts w:cs="Arial"/>
          <w:bCs/>
          <w:szCs w:val="22"/>
        </w:rPr>
        <w:t xml:space="preserve">- </w:t>
      </w:r>
      <w:r w:rsidR="00223095">
        <w:rPr>
          <w:rFonts w:cs="Arial"/>
          <w:bCs/>
          <w:szCs w:val="22"/>
        </w:rPr>
        <w:t>CILOG</w:t>
      </w:r>
      <w:r w:rsidRPr="00CB6E85">
        <w:rPr>
          <w:rFonts w:cs="Arial"/>
          <w:bCs/>
          <w:szCs w:val="22"/>
        </w:rPr>
        <w:t xml:space="preserve"> no estado </w:t>
      </w:r>
      <w:r w:rsidR="00114BD6">
        <w:rPr>
          <w:rFonts w:cs="Arial"/>
          <w:b/>
          <w:bCs/>
          <w:caps/>
          <w:highlight w:val="yellow"/>
        </w:rPr>
        <w:t xml:space="preserve">de </w:t>
      </w:r>
      <w:r w:rsidR="00D94611">
        <w:rPr>
          <w:rFonts w:cs="Arial"/>
          <w:b/>
          <w:bCs/>
          <w:caps/>
          <w:highlight w:val="yellow"/>
        </w:rPr>
        <w:t>GOIÁS</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1B4ABF4D" w14:textId="77777777" w:rsidR="00600651" w:rsidRPr="00535939" w:rsidRDefault="00600651" w:rsidP="00535939">
      <w:pPr>
        <w:rPr>
          <w:rFonts w:ascii="Arial" w:hAnsi="Arial" w:cs="Arial"/>
          <w:sz w:val="22"/>
          <w:szCs w:val="22"/>
        </w:rPr>
      </w:pPr>
    </w:p>
    <w:p w14:paraId="26A31E8E" w14:textId="77777777" w:rsidR="001F466F" w:rsidRDefault="0063080F" w:rsidP="001F466F">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001F466F">
        <w:rPr>
          <w:rFonts w:cs="Arial"/>
          <w:b/>
          <w:szCs w:val="22"/>
        </w:rPr>
        <w:t xml:space="preserve">CONTRATAÇÃO SIMULTÂNEA, </w:t>
      </w:r>
      <w:r w:rsidR="001F466F" w:rsidRPr="00CB6E85">
        <w:rPr>
          <w:rFonts w:cs="Arial"/>
          <w:b/>
          <w:szCs w:val="22"/>
        </w:rPr>
        <w:t>PRAZO</w:t>
      </w:r>
      <w:r w:rsidR="001F466F">
        <w:rPr>
          <w:rFonts w:cs="Arial"/>
          <w:b/>
          <w:szCs w:val="22"/>
        </w:rPr>
        <w:t xml:space="preserve"> E </w:t>
      </w:r>
      <w:r w:rsidR="001F466F" w:rsidRPr="00CB6E85">
        <w:rPr>
          <w:rFonts w:cs="Arial"/>
          <w:b/>
          <w:szCs w:val="22"/>
        </w:rPr>
        <w:t>LOCAIS DE EXECUÇÃO DOS SERVIÇOS</w:t>
      </w:r>
    </w:p>
    <w:p w14:paraId="5AD7F3A5" w14:textId="77777777" w:rsidR="001F466F" w:rsidRPr="002A7684" w:rsidRDefault="001F466F" w:rsidP="001F466F">
      <w:pPr>
        <w:pStyle w:val="Corpodetexto31"/>
        <w:tabs>
          <w:tab w:val="left" w:pos="4962"/>
        </w:tabs>
        <w:spacing w:before="0"/>
        <w:ind w:left="992" w:hanging="992"/>
        <w:rPr>
          <w:rFonts w:cs="Arial"/>
          <w:b/>
          <w:szCs w:val="22"/>
        </w:rPr>
      </w:pPr>
    </w:p>
    <w:p w14:paraId="29AAD46A" w14:textId="77777777" w:rsidR="001F466F" w:rsidRDefault="001F466F" w:rsidP="001F466F">
      <w:pPr>
        <w:pStyle w:val="Ttulo"/>
        <w:jc w:val="both"/>
        <w:rPr>
          <w:rFonts w:cs="Arial"/>
          <w:bCs/>
          <w:szCs w:val="22"/>
          <w:u w:val="none"/>
          <w:lang w:eastAsia="ar-SA"/>
        </w:rPr>
      </w:pPr>
    </w:p>
    <w:p w14:paraId="19A3A753" w14:textId="77777777" w:rsidR="001F466F" w:rsidRDefault="001F466F" w:rsidP="001F466F">
      <w:pPr>
        <w:pStyle w:val="Ttulo"/>
        <w:ind w:left="993"/>
        <w:jc w:val="both"/>
        <w:rPr>
          <w:rFonts w:cs="Arial"/>
          <w:bCs/>
          <w:szCs w:val="22"/>
          <w:u w:val="none"/>
          <w:lang w:eastAsia="ar-SA"/>
        </w:rPr>
      </w:pPr>
      <w:r w:rsidRPr="007022DE">
        <w:rPr>
          <w:rFonts w:cs="Arial"/>
          <w:bCs/>
          <w:szCs w:val="22"/>
          <w:u w:val="none"/>
          <w:lang w:eastAsia="ar-SA"/>
        </w:rPr>
        <w:t>Para esse objeto está prevista a contratação de até 02 (dois) LICITANTES por item, de   forma simultânea (contratos de mesmo objeto e valor).</w:t>
      </w:r>
    </w:p>
    <w:p w14:paraId="3656D333" w14:textId="77777777" w:rsidR="001F466F" w:rsidRPr="007022DE" w:rsidRDefault="001F466F" w:rsidP="001F466F">
      <w:pPr>
        <w:pStyle w:val="Ttulo"/>
        <w:ind w:left="993"/>
        <w:jc w:val="both"/>
        <w:rPr>
          <w:rFonts w:cs="Arial"/>
          <w:bCs/>
          <w:szCs w:val="22"/>
          <w:u w:val="none"/>
          <w:lang w:eastAsia="ar-SA"/>
        </w:rPr>
      </w:pPr>
    </w:p>
    <w:p w14:paraId="3BF12046" w14:textId="77777777" w:rsidR="001F466F" w:rsidRDefault="001F466F" w:rsidP="001F466F">
      <w:pPr>
        <w:pStyle w:val="Ttulo"/>
        <w:ind w:left="993"/>
        <w:jc w:val="both"/>
        <w:rPr>
          <w:rFonts w:cs="Arial"/>
          <w:bCs/>
          <w:szCs w:val="22"/>
          <w:u w:val="none"/>
          <w:lang w:eastAsia="ar-SA"/>
        </w:rPr>
      </w:pPr>
      <w:r w:rsidRPr="007022DE">
        <w:rPr>
          <w:rFonts w:cs="Arial"/>
          <w:bCs/>
          <w:szCs w:val="22"/>
          <w:u w:val="none"/>
          <w:lang w:eastAsia="ar-SA"/>
        </w:rPr>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2C6FE19E" w14:textId="77777777" w:rsidR="001F466F" w:rsidRPr="007022DE" w:rsidRDefault="001F466F" w:rsidP="001F466F">
      <w:pPr>
        <w:pStyle w:val="Ttulo"/>
        <w:ind w:left="993"/>
        <w:jc w:val="both"/>
        <w:rPr>
          <w:rFonts w:cs="Arial"/>
          <w:bCs/>
          <w:szCs w:val="22"/>
          <w:u w:val="none"/>
          <w:lang w:eastAsia="ar-SA"/>
        </w:rPr>
      </w:pPr>
    </w:p>
    <w:p w14:paraId="5B2F291D" w14:textId="77777777" w:rsidR="001F466F" w:rsidRDefault="001F466F" w:rsidP="001F466F">
      <w:pPr>
        <w:pStyle w:val="Ttulo"/>
        <w:ind w:left="993"/>
        <w:jc w:val="both"/>
        <w:rPr>
          <w:rFonts w:cs="Arial"/>
          <w:bCs/>
          <w:szCs w:val="22"/>
          <w:u w:val="none"/>
          <w:lang w:eastAsia="ar-SA"/>
        </w:rPr>
      </w:pPr>
      <w:r w:rsidRPr="007022DE">
        <w:rPr>
          <w:rFonts w:cs="Arial"/>
          <w:bCs/>
          <w:szCs w:val="22"/>
          <w:u w:val="none"/>
          <w:lang w:eastAsia="ar-SA"/>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002A5ED0" w:rsidR="00FE3E8E" w:rsidRDefault="0063080F" w:rsidP="002A7684">
      <w:pPr>
        <w:pStyle w:val="Ttulo"/>
        <w:ind w:left="993" w:hanging="993"/>
        <w:jc w:val="both"/>
        <w:rPr>
          <w:rFonts w:cs="Arial"/>
          <w:bCs/>
          <w:szCs w:val="22"/>
          <w:u w:val="none"/>
          <w:lang w:eastAsia="ar-SA"/>
        </w:rPr>
      </w:pPr>
      <w:r w:rsidRPr="00CB6E85">
        <w:rPr>
          <w:rFonts w:cs="Arial"/>
          <w:bCs/>
          <w:szCs w:val="22"/>
          <w:u w:val="none"/>
          <w:lang w:eastAsia="ar-SA"/>
        </w:rPr>
        <w:tab/>
        <w:t xml:space="preserve">O prazo de execução será de </w:t>
      </w:r>
      <w:r w:rsidR="00606096">
        <w:rPr>
          <w:rFonts w:cs="Arial"/>
          <w:bCs/>
          <w:szCs w:val="22"/>
          <w:u w:val="none"/>
          <w:lang w:eastAsia="ar-SA"/>
        </w:rPr>
        <w:t>2</w:t>
      </w:r>
      <w:r w:rsidRPr="00CB6E85">
        <w:rPr>
          <w:rFonts w:cs="Arial"/>
          <w:bCs/>
          <w:szCs w:val="22"/>
          <w:u w:val="none"/>
          <w:lang w:eastAsia="ar-SA"/>
        </w:rPr>
        <w:t>0 (</w:t>
      </w:r>
      <w:r w:rsidR="00606096">
        <w:rPr>
          <w:rFonts w:cs="Arial"/>
          <w:bCs/>
          <w:szCs w:val="22"/>
          <w:u w:val="none"/>
          <w:lang w:eastAsia="ar-SA"/>
        </w:rPr>
        <w:t>vinte</w:t>
      </w:r>
      <w:r w:rsidRPr="00CB6E85">
        <w:rPr>
          <w:rFonts w:cs="Arial"/>
          <w:bCs/>
          <w:szCs w:val="22"/>
          <w:u w:val="none"/>
          <w:lang w:eastAsia="ar-SA"/>
        </w:rPr>
        <w:t xml:space="preserve">) dias corridos, contados da assinatura </w:t>
      </w:r>
      <w:r w:rsidR="006A66E4" w:rsidRPr="001F66F5">
        <w:rPr>
          <w:rFonts w:cs="Arial"/>
          <w:bCs/>
          <w:szCs w:val="22"/>
          <w:u w:val="none"/>
          <w:lang w:eastAsia="ar-SA"/>
        </w:rPr>
        <w:t>do Contrato Derivado d</w:t>
      </w:r>
      <w:r w:rsidR="00A82891">
        <w:rPr>
          <w:rFonts w:cs="Arial"/>
          <w:bCs/>
          <w:szCs w:val="22"/>
          <w:u w:val="none"/>
          <w:lang w:eastAsia="ar-SA"/>
        </w:rPr>
        <w:t>a</w:t>
      </w:r>
      <w:r w:rsidR="006A66E4" w:rsidRPr="001F66F5">
        <w:rPr>
          <w:rFonts w:cs="Arial"/>
          <w:bCs/>
          <w:szCs w:val="22"/>
          <w:u w:val="none"/>
          <w:lang w:eastAsia="ar-SA"/>
        </w:rPr>
        <w:t xml:space="preserve"> Ata</w:t>
      </w:r>
      <w:r w:rsidR="001F66F5">
        <w:rPr>
          <w:rFonts w:cs="Arial"/>
          <w:bCs/>
          <w:szCs w:val="22"/>
          <w:u w:val="none"/>
          <w:lang w:eastAsia="ar-SA"/>
        </w:rPr>
        <w:t>.</w:t>
      </w:r>
      <w:r w:rsidR="00A82891">
        <w:rPr>
          <w:rFonts w:cs="Arial"/>
          <w:bCs/>
          <w:szCs w:val="22"/>
          <w:u w:val="none"/>
          <w:lang w:eastAsia="ar-SA"/>
        </w:rPr>
        <w:t xml:space="preserve"> Os locais para a </w:t>
      </w:r>
      <w:r w:rsidR="007F3D0E">
        <w:rPr>
          <w:rFonts w:cs="Arial"/>
          <w:bCs/>
          <w:szCs w:val="22"/>
          <w:u w:val="none"/>
          <w:lang w:eastAsia="ar-SA"/>
        </w:rPr>
        <w:t>realização</w:t>
      </w:r>
      <w:r w:rsidR="00A82891">
        <w:rPr>
          <w:rFonts w:cs="Arial"/>
          <w:bCs/>
          <w:szCs w:val="22"/>
          <w:u w:val="none"/>
          <w:lang w:eastAsia="ar-SA"/>
        </w:rPr>
        <w:t xml:space="preserve"> dos serviços estão </w:t>
      </w:r>
      <w:r w:rsidR="007F3D0E">
        <w:rPr>
          <w:rFonts w:cs="Arial"/>
          <w:bCs/>
          <w:szCs w:val="22"/>
          <w:u w:val="none"/>
          <w:lang w:eastAsia="ar-SA"/>
        </w:rPr>
        <w:t>indicados no ANEXO III.</w:t>
      </w:r>
    </w:p>
    <w:p w14:paraId="0715AA12" w14:textId="77777777" w:rsidR="007F3D0E" w:rsidRPr="002A7684" w:rsidRDefault="007F3D0E"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206E0D77" w14:textId="77777777" w:rsidR="007F6BEF" w:rsidRDefault="00A92FE4" w:rsidP="007F6BEF">
      <w:pPr>
        <w:pStyle w:val="Corpodetexto31"/>
        <w:tabs>
          <w:tab w:val="left" w:pos="4962"/>
        </w:tabs>
        <w:spacing w:before="0"/>
        <w:ind w:left="992" w:hanging="992"/>
        <w:rPr>
          <w:rFonts w:cs="Arial"/>
          <w:bCs/>
          <w:szCs w:val="22"/>
        </w:rPr>
      </w:pPr>
      <w:r w:rsidRPr="00A92FE4">
        <w:rPr>
          <w:rFonts w:cs="Arial"/>
          <w:bCs/>
          <w:szCs w:val="22"/>
        </w:rPr>
        <w:tab/>
      </w:r>
      <w:r w:rsidR="007F6BEF">
        <w:rPr>
          <w:rFonts w:cs="Arial"/>
          <w:bCs/>
          <w:szCs w:val="22"/>
        </w:rPr>
        <w:t>A garantia contratual deverá ser de 5% (cinco por cento) do valor de cada contrato, e só será exigida para contratos de valor acima de R$ 500.000,00.</w:t>
      </w:r>
    </w:p>
    <w:p w14:paraId="39074BE6" w14:textId="77777777" w:rsidR="007F6BEF" w:rsidRDefault="007F6BEF" w:rsidP="007F6BEF">
      <w:pPr>
        <w:pStyle w:val="Corpodetexto31"/>
        <w:tabs>
          <w:tab w:val="left" w:pos="4962"/>
        </w:tabs>
        <w:spacing w:before="0"/>
        <w:ind w:left="992" w:hanging="992"/>
        <w:rPr>
          <w:rFonts w:cs="Arial"/>
          <w:bCs/>
          <w:szCs w:val="22"/>
        </w:rPr>
      </w:pPr>
    </w:p>
    <w:p w14:paraId="67F77CD6"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bookmarkStart w:id="0" w:name="_Hlk9940674"/>
    </w:p>
    <w:p w14:paraId="1C7D061F" w14:textId="77777777" w:rsidR="007F6BEF" w:rsidRDefault="007F6BEF" w:rsidP="007F6BEF">
      <w:pPr>
        <w:pStyle w:val="Corpodetexto31"/>
        <w:tabs>
          <w:tab w:val="left" w:pos="4962"/>
        </w:tabs>
        <w:spacing w:before="0"/>
        <w:ind w:left="992" w:hanging="992"/>
        <w:rPr>
          <w:rFonts w:cs="Arial"/>
          <w:bCs/>
          <w:szCs w:val="22"/>
        </w:rPr>
      </w:pPr>
    </w:p>
    <w:p w14:paraId="036087B7"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O seguro de risco de engenharia deve especificar os limites de indenização/garantia, com valores de cobertura básica que corresponda ao valor total do serviço, bem como a de cobertura adicional de no mínimo 30% da cobertura básica.</w:t>
      </w:r>
      <w:bookmarkEnd w:id="0"/>
    </w:p>
    <w:p w14:paraId="294330A7" w14:textId="77777777" w:rsidR="007F6BEF" w:rsidRDefault="007F6BEF" w:rsidP="007F6BEF">
      <w:pPr>
        <w:pStyle w:val="Corpodetexto31"/>
        <w:tabs>
          <w:tab w:val="left" w:pos="4962"/>
        </w:tabs>
        <w:spacing w:before="0"/>
        <w:ind w:left="992" w:hanging="992"/>
        <w:rPr>
          <w:rFonts w:cs="Arial"/>
          <w:bCs/>
          <w:szCs w:val="22"/>
        </w:rPr>
      </w:pPr>
    </w:p>
    <w:p w14:paraId="11AE40DA"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O seguro de responsabilidade civil por acidentes pessoais e danos morais informará a importância dos limites máximos de indenização/garantia correspondente a no mínimo de 10% da cobertura básica, observado o valor mínimo de R$ 50.000,00.</w:t>
      </w:r>
    </w:p>
    <w:p w14:paraId="64FA97ED"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A cobertura de responsabilidade civil pode estar caracterizada como cobertura acessória e conjugada em uma apólice ou contratada em separado, observando a composição do limite máximo de indenização/garantia.</w:t>
      </w:r>
    </w:p>
    <w:p w14:paraId="7CA349CB" w14:textId="77777777" w:rsidR="007F6BEF" w:rsidRDefault="007F6BEF" w:rsidP="007F6BEF">
      <w:pPr>
        <w:pStyle w:val="Corpodetexto31"/>
        <w:tabs>
          <w:tab w:val="left" w:pos="4962"/>
        </w:tabs>
        <w:spacing w:before="0"/>
        <w:ind w:left="992" w:hanging="992"/>
        <w:rPr>
          <w:rFonts w:cs="Arial"/>
          <w:bCs/>
          <w:szCs w:val="22"/>
        </w:rPr>
      </w:pPr>
    </w:p>
    <w:p w14:paraId="1F52E3C3"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 xml:space="preserve">A CONTRATADA deve apresentar à CAIXA no prazo máximo de até 10 dias da assinatura do contrato as apólices dos seguros acima especificados, aos quais devem </w:t>
      </w:r>
      <w:r>
        <w:rPr>
          <w:rFonts w:cs="Arial"/>
          <w:bCs/>
          <w:szCs w:val="22"/>
        </w:rPr>
        <w:lastRenderedPageBreak/>
        <w:t>corresponder ao prazo da vigência do contrato. A comprovação de emissão e quitação da referida apólice é pré-requisito para realização da reunião de partida de obras.</w:t>
      </w:r>
    </w:p>
    <w:p w14:paraId="49F882C9" w14:textId="77777777" w:rsidR="007F6BEF" w:rsidRDefault="007F6BEF" w:rsidP="007F6BEF">
      <w:pPr>
        <w:pStyle w:val="Corpodetexto31"/>
        <w:tabs>
          <w:tab w:val="left" w:pos="4962"/>
        </w:tabs>
        <w:spacing w:before="0"/>
        <w:ind w:left="992" w:hanging="992"/>
        <w:rPr>
          <w:rFonts w:cs="Arial"/>
          <w:bCs/>
          <w:szCs w:val="22"/>
        </w:rPr>
      </w:pPr>
    </w:p>
    <w:p w14:paraId="5DBE35C7"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Quando ocorrer alteração no prazo, a vigência das apólices deve ser prorrogada conforme esse novo prazo, com apresentação do endosso das apólices.</w:t>
      </w:r>
    </w:p>
    <w:p w14:paraId="65220E8C" w14:textId="77777777" w:rsidR="007F6BEF" w:rsidRDefault="007F6BEF" w:rsidP="007F6BEF">
      <w:pPr>
        <w:pStyle w:val="Corpodetexto31"/>
        <w:tabs>
          <w:tab w:val="left" w:pos="4962"/>
        </w:tabs>
        <w:spacing w:before="0"/>
        <w:ind w:left="992" w:hanging="992"/>
        <w:rPr>
          <w:rFonts w:cs="Arial"/>
          <w:bCs/>
          <w:szCs w:val="22"/>
        </w:rPr>
      </w:pPr>
    </w:p>
    <w:p w14:paraId="66950958"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Ocorrendo sinistro, as partes atingidas serão reparadas ou refeitas pela CONTRATADA.</w:t>
      </w:r>
    </w:p>
    <w:p w14:paraId="7E9451CD" w14:textId="77777777" w:rsidR="007F6BEF" w:rsidRDefault="007F6BEF" w:rsidP="007F6BEF">
      <w:pPr>
        <w:pStyle w:val="Corpodetexto31"/>
        <w:tabs>
          <w:tab w:val="left" w:pos="4962"/>
        </w:tabs>
        <w:spacing w:before="0"/>
        <w:ind w:left="992" w:hanging="992"/>
        <w:rPr>
          <w:rFonts w:cs="Arial"/>
          <w:bCs/>
          <w:szCs w:val="22"/>
        </w:rPr>
      </w:pPr>
    </w:p>
    <w:p w14:paraId="1B1327B3" w14:textId="77777777" w:rsidR="007F6BEF" w:rsidRDefault="007F6BEF" w:rsidP="007F6BEF">
      <w:pPr>
        <w:pStyle w:val="Corpodetexto31"/>
        <w:tabs>
          <w:tab w:val="left" w:pos="4962"/>
        </w:tabs>
        <w:spacing w:before="0"/>
        <w:ind w:left="992" w:hanging="992"/>
        <w:rPr>
          <w:rFonts w:cs="Arial"/>
          <w:bCs/>
          <w:szCs w:val="22"/>
        </w:rPr>
      </w:pPr>
      <w:r>
        <w:rPr>
          <w:rFonts w:cs="Arial"/>
          <w:bCs/>
          <w:szCs w:val="22"/>
        </w:rPr>
        <w:tab/>
        <w:t>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62AB8B93" w14:textId="48E6CC2D" w:rsidR="0063080F" w:rsidRPr="00A92FE4" w:rsidRDefault="0063080F" w:rsidP="00A92FE4">
      <w:pPr>
        <w:pStyle w:val="Corpodetexto31"/>
        <w:tabs>
          <w:tab w:val="left" w:pos="4962"/>
        </w:tabs>
        <w:spacing w:before="0"/>
        <w:ind w:left="992" w:hanging="992"/>
        <w:rPr>
          <w:rFonts w:cs="Arial"/>
          <w:bCs/>
          <w:szCs w:val="22"/>
        </w:rPr>
      </w:pP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1C53D081" w14:textId="155724BF" w:rsidR="001D33C4" w:rsidRDefault="00A92FE4" w:rsidP="00A92FE4">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w:t>
      </w:r>
      <w:r w:rsidR="007F6BEF">
        <w:rPr>
          <w:rFonts w:cs="Arial"/>
          <w:bCs/>
          <w:szCs w:val="22"/>
        </w:rPr>
        <w:t>6</w:t>
      </w:r>
      <w:r w:rsidR="001D33C4" w:rsidRPr="00A92FE4">
        <w:rPr>
          <w:rFonts w:cs="Arial"/>
          <w:bCs/>
          <w:szCs w:val="22"/>
        </w:rPr>
        <w:t xml:space="preserve"> (</w:t>
      </w:r>
      <w:r w:rsidR="007F6BEF">
        <w:rPr>
          <w:rFonts w:cs="Arial"/>
          <w:bCs/>
          <w:szCs w:val="22"/>
        </w:rPr>
        <w:t>seis</w:t>
      </w:r>
      <w:r w:rsidR="001D33C4" w:rsidRPr="00A92FE4">
        <w:rPr>
          <w:rFonts w:cs="Arial"/>
          <w:bCs/>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9F84B4A" w14:textId="77777777" w:rsidR="007F3A51" w:rsidRDefault="007F3A51" w:rsidP="007F3A51">
      <w:pPr>
        <w:pStyle w:val="Corpodetexto31"/>
        <w:tabs>
          <w:tab w:val="left" w:pos="4962"/>
        </w:tabs>
        <w:spacing w:before="0"/>
        <w:rPr>
          <w:rFonts w:cs="Arial"/>
          <w:bCs/>
          <w:szCs w:val="22"/>
        </w:rPr>
      </w:pPr>
    </w:p>
    <w:p w14:paraId="427E420B" w14:textId="67C08E24" w:rsidR="007F3A51" w:rsidRPr="00A92FE4" w:rsidRDefault="007F3A51" w:rsidP="00A92FE4">
      <w:pPr>
        <w:pStyle w:val="Corpodetexto31"/>
        <w:tabs>
          <w:tab w:val="left" w:pos="4962"/>
        </w:tabs>
        <w:spacing w:before="0"/>
        <w:ind w:left="992" w:hanging="992"/>
        <w:rPr>
          <w:rFonts w:cs="Arial"/>
          <w:bCs/>
          <w:szCs w:val="22"/>
        </w:rPr>
      </w:pPr>
      <w:r>
        <w:rPr>
          <w:rFonts w:cs="Arial"/>
          <w:bCs/>
          <w:szCs w:val="22"/>
        </w:rPr>
        <w:tab/>
      </w:r>
      <w:r w:rsidRPr="00030CCB">
        <w:rPr>
          <w:rFonts w:cs="Arial"/>
          <w:bCs/>
          <w:szCs w:val="22"/>
        </w:rPr>
        <w:t>O faturamento deverá ocorrer, obrigatoriamente, por meio de Nota Fiscal de Serviço, emitida com o item 7.05 - Reparação, conservação e Reforma de Edifícios.</w:t>
      </w:r>
    </w:p>
    <w:p w14:paraId="277A44E6" w14:textId="77777777" w:rsidR="008B6EEC" w:rsidRPr="00A92FE4" w:rsidRDefault="008B6EEC" w:rsidP="00A92FE4">
      <w:pPr>
        <w:pStyle w:val="Corpodetexto31"/>
        <w:tabs>
          <w:tab w:val="left" w:pos="4962"/>
        </w:tabs>
        <w:spacing w:before="0"/>
        <w:ind w:left="992" w:hanging="992"/>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75EDD18E" w14:textId="7B8BE91A" w:rsidR="0063080F" w:rsidRPr="00A92FE4" w:rsidRDefault="0063080F"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2582AE7A" w14:textId="00EB30D4" w:rsidR="0063080F" w:rsidRDefault="00A92FE4" w:rsidP="00A92FE4">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73E04899" w14:textId="77777777" w:rsidR="008D041C" w:rsidRDefault="008D041C" w:rsidP="00A92FE4">
      <w:pPr>
        <w:pStyle w:val="Corpodetexto31"/>
        <w:tabs>
          <w:tab w:val="left" w:pos="4962"/>
        </w:tabs>
        <w:spacing w:before="0"/>
        <w:ind w:left="992" w:hanging="992"/>
        <w:rPr>
          <w:rFonts w:cs="Arial"/>
          <w:bCs/>
          <w:szCs w:val="22"/>
        </w:rPr>
      </w:pPr>
    </w:p>
    <w:p w14:paraId="0E2FA24F" w14:textId="7E4E18DA" w:rsidR="008D041C" w:rsidRDefault="008D041C" w:rsidP="008D041C">
      <w:pPr>
        <w:pStyle w:val="Corpodetexto31"/>
        <w:tabs>
          <w:tab w:val="left" w:pos="4962"/>
        </w:tabs>
        <w:spacing w:before="0"/>
        <w:ind w:left="992" w:hanging="992"/>
        <w:rPr>
          <w:rFonts w:cs="Arial"/>
          <w:bCs/>
          <w:szCs w:val="22"/>
        </w:rPr>
      </w:pPr>
      <w:r>
        <w:rPr>
          <w:rFonts w:cs="Arial"/>
          <w:bCs/>
          <w:szCs w:val="22"/>
        </w:rPr>
        <w:tab/>
      </w:r>
      <w:r w:rsidRPr="00EA3720">
        <w:rPr>
          <w:rFonts w:cs="Arial"/>
          <w:bCs/>
          <w:szCs w:val="22"/>
        </w:rPr>
        <w:t xml:space="preserve">A contratada deverá apresentar ART (Anotação de Responsabilidade Técnica) de Engenheiro Civil ou Tecnólogo em Construção Civil ou Tecnólogo em Edificações ou </w:t>
      </w:r>
      <w:r w:rsidRPr="00EA3720">
        <w:rPr>
          <w:rFonts w:cs="Arial"/>
          <w:bCs/>
          <w:szCs w:val="22"/>
        </w:rPr>
        <w:lastRenderedPageBreak/>
        <w:t>RRT (Registro de Responsabilidade Técnica) de Arquiteto e Urbanista para a execução das instalações dos serviços, antes do início da execução dos serviços contratados.</w:t>
      </w:r>
    </w:p>
    <w:p w14:paraId="547272B6" w14:textId="77777777" w:rsidR="008D041C" w:rsidRDefault="008D041C" w:rsidP="008D041C">
      <w:pPr>
        <w:pStyle w:val="Corpodetexto31"/>
        <w:tabs>
          <w:tab w:val="left" w:pos="4962"/>
        </w:tabs>
        <w:spacing w:before="0"/>
        <w:rPr>
          <w:rFonts w:cs="Arial"/>
          <w:bCs/>
          <w:szCs w:val="22"/>
        </w:rPr>
      </w:pPr>
    </w:p>
    <w:p w14:paraId="45A78AEE" w14:textId="77777777" w:rsidR="008D041C" w:rsidRPr="00EF4075" w:rsidRDefault="008D041C" w:rsidP="008D041C">
      <w:pPr>
        <w:pStyle w:val="Corpodetexto31"/>
        <w:tabs>
          <w:tab w:val="left" w:pos="4962"/>
        </w:tabs>
        <w:spacing w:before="0"/>
        <w:ind w:left="992" w:hanging="992"/>
        <w:rPr>
          <w:rFonts w:cs="Arial"/>
          <w:bCs/>
          <w:szCs w:val="22"/>
        </w:rPr>
      </w:pPr>
      <w:r>
        <w:rPr>
          <w:rFonts w:cs="Arial"/>
          <w:bCs/>
          <w:szCs w:val="22"/>
        </w:rPr>
        <w:tab/>
      </w:r>
      <w:r w:rsidRPr="00EA3720">
        <w:rPr>
          <w:rFonts w:cs="Arial"/>
          <w:bCs/>
          <w:szCs w:val="22"/>
        </w:rPr>
        <w:t>O horário dos serviços deve ser acordado com a unidade objeto da contratação,</w:t>
      </w:r>
      <w:r w:rsidRPr="00EF4075">
        <w:rPr>
          <w:rFonts w:cs="Arial"/>
          <w:bCs/>
          <w:szCs w:val="22"/>
        </w:rPr>
        <w:t xml:space="preserve"> respeitando a Lei do Silêncio, caso o horário venha a ultrapassar o limite das 22h.</w:t>
      </w:r>
    </w:p>
    <w:p w14:paraId="4789ABFF" w14:textId="77777777" w:rsidR="008D041C" w:rsidRPr="00EF4075" w:rsidRDefault="008D041C" w:rsidP="008D041C">
      <w:pPr>
        <w:pStyle w:val="Corpodetexto31"/>
        <w:tabs>
          <w:tab w:val="left" w:pos="4962"/>
        </w:tabs>
        <w:spacing w:before="0"/>
        <w:ind w:left="992" w:hanging="992"/>
        <w:rPr>
          <w:rFonts w:cs="Arial"/>
          <w:bCs/>
          <w:szCs w:val="22"/>
        </w:rPr>
      </w:pPr>
    </w:p>
    <w:p w14:paraId="07981FD2" w14:textId="77777777" w:rsidR="008D041C" w:rsidRPr="00EF4075" w:rsidRDefault="008D041C" w:rsidP="008D041C">
      <w:pPr>
        <w:pStyle w:val="Corpodetexto31"/>
        <w:tabs>
          <w:tab w:val="left" w:pos="4962"/>
        </w:tabs>
        <w:spacing w:before="0"/>
        <w:ind w:left="992" w:hanging="992"/>
        <w:rPr>
          <w:rFonts w:cs="Arial"/>
          <w:bCs/>
          <w:szCs w:val="22"/>
        </w:rPr>
      </w:pPr>
      <w:r w:rsidRPr="00EF4075">
        <w:rPr>
          <w:rFonts w:cs="Arial"/>
          <w:bCs/>
          <w:szCs w:val="22"/>
        </w:rPr>
        <w:tab/>
        <w:t>A empresa deverá ter capacidade técnica e operacional para executar, no mínimo, 05 (cinco) obras com agendamentos concomitantes, de acordo com o prazo de obras informado pela CAIXA.</w:t>
      </w:r>
    </w:p>
    <w:p w14:paraId="1B93BFBE" w14:textId="77777777" w:rsidR="008D041C" w:rsidRPr="00A92FE4" w:rsidRDefault="008D041C" w:rsidP="00A92FE4">
      <w:pPr>
        <w:pStyle w:val="Corpodetexto31"/>
        <w:tabs>
          <w:tab w:val="left" w:pos="4962"/>
        </w:tabs>
        <w:spacing w:before="0"/>
        <w:ind w:left="992" w:hanging="992"/>
        <w:rPr>
          <w:rFonts w:cs="Arial"/>
          <w:bCs/>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carboxilados.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selfcolor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ou “Jeans Lavado”, do sistema selfcolor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lastRenderedPageBreak/>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carboxilados.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r>
        <w:rPr>
          <w:rFonts w:cs="Arial"/>
          <w:bCs/>
          <w:szCs w:val="22"/>
          <w:u w:val="none"/>
        </w:rPr>
        <w:t>standart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em </w:t>
      </w:r>
      <w:r w:rsidR="0014426D" w:rsidRPr="00C723B8">
        <w:rPr>
          <w:rFonts w:cs="Arial"/>
          <w:szCs w:val="22"/>
        </w:rPr>
        <w:t xml:space="preserve"> </w:t>
      </w:r>
      <w:r w:rsidR="0063080F" w:rsidRPr="00C723B8">
        <w:rPr>
          <w:rFonts w:cs="Arial"/>
          <w:szCs w:val="22"/>
        </w:rPr>
        <w:t xml:space="preserve">todas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metro linear”</w:t>
      </w:r>
      <w:r w:rsidR="00FD3866">
        <w:rPr>
          <w:rFonts w:cs="Arial"/>
          <w:szCs w:val="22"/>
        </w:rPr>
        <w:t xml:space="preserve">  </w:t>
      </w:r>
      <w:r w:rsidR="00A71D97" w:rsidRPr="00C723B8">
        <w:rPr>
          <w:rFonts w:cs="Arial"/>
          <w:szCs w:val="22"/>
        </w:rPr>
        <w:tab/>
      </w:r>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lastRenderedPageBreak/>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r w:rsidR="0063080F" w:rsidRPr="001B2A2B">
        <w:rPr>
          <w:rFonts w:cs="Arial"/>
          <w:szCs w:val="22"/>
        </w:rPr>
        <w:t>Graffitiguard da Anchortec</w:t>
      </w:r>
      <w:r w:rsidR="00016CE2" w:rsidRPr="001B2A2B">
        <w:rPr>
          <w:rFonts w:cs="Arial"/>
          <w:szCs w:val="22"/>
        </w:rPr>
        <w:t xml:space="preserve">, </w:t>
      </w:r>
      <w:r w:rsidR="0063080F" w:rsidRPr="001B2A2B">
        <w:rPr>
          <w:rFonts w:cs="Arial"/>
          <w:szCs w:val="22"/>
        </w:rPr>
        <w:t>Quartzolit</w:t>
      </w:r>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34780D63" w14:textId="7B2F36C5" w:rsidR="00545863" w:rsidRDefault="001B2A2B" w:rsidP="001F23E4">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r w:rsidR="0063080F" w:rsidRPr="00CB6E85">
        <w:rPr>
          <w:rFonts w:cs="Arial"/>
          <w:bCs/>
          <w:szCs w:val="22"/>
        </w:rPr>
        <w:t xml:space="preserve">Graffitiguard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733972AE" w14:textId="4D414869" w:rsidR="00F43E4B" w:rsidRDefault="001B2A2B" w:rsidP="001F23E4">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Graffitiguard seja aplicado sobre substrato íntegro, limpo e seco. Em aplicações sobre pinturas existentes, deve ser comprovada a aderência da pintura original ao substrato. Graffitiguard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7C03EEEA" w14:textId="1950F2CC" w:rsidR="00F43E4B" w:rsidRDefault="001B2A2B" w:rsidP="001F23E4">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Graffitiguard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airless. Para evitar o possível </w:t>
      </w:r>
      <w:r w:rsidR="0063080F" w:rsidRPr="00CB6E85">
        <w:rPr>
          <w:rFonts w:cs="Arial"/>
          <w:bCs/>
          <w:szCs w:val="22"/>
        </w:rPr>
        <w:lastRenderedPageBreak/>
        <w:t>escurecimento no caso de superfícies de concreto, aplicar previamente uma demão de</w:t>
      </w:r>
      <w:r>
        <w:rPr>
          <w:rFonts w:cs="Arial"/>
          <w:bCs/>
          <w:szCs w:val="22"/>
        </w:rPr>
        <w:t xml:space="preserve"> </w:t>
      </w:r>
      <w:r w:rsidR="0063080F" w:rsidRPr="00CB6E85">
        <w:rPr>
          <w:rFonts w:cs="Arial"/>
          <w:bCs/>
          <w:szCs w:val="22"/>
        </w:rPr>
        <w:t>Nitoprimer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7032BF9" w14:textId="3240AB65" w:rsidR="00541167" w:rsidRDefault="00541167" w:rsidP="001F23E4">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Graffitiguard sobre tintas acrílicas, látex e texturas acrílicas disponíveis no mercado, deve-se executar, em função das diferentes formulações destes produtos, a aplicação prévia do selador Nitoprimer AW com o objetivo de eliminar a possibilidade de incompatibilidade química entre Graffitiguard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Anchortec, como por exemplo, Concreguard AW, não necessitam da aplicação do selador Nitoprimer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airless. Deve-se garantir a cobertura total da superfície com Graffitiguard,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superfície a ser protegida pode sofrer alteração de tonalidade após a aplicação de Graffitiguard. Este efeito pode ser minimizado ou até eliminado com a aplicação prévia de Nitoprimer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Lazzudur </w:t>
      </w:r>
      <w:r w:rsidR="00960724">
        <w:t xml:space="preserve">da </w:t>
      </w:r>
      <w:r w:rsidR="002E2A44">
        <w:t>Shewin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3C662DDE"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CB2680">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o Externa, subpórtico,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36FA7A30"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CB2680">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Proteger com papel kraft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422E436D"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sidR="00CB2680">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03DD8B16"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CB2680">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652D8057"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CB2680">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Limpar adequadamente a superfície a ser pintada, removendo partes soltas, ferrugem, oleosidades e resíduos impregnantes, com Solução Desoleante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poliester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0A3A4904" w14:textId="77777777" w:rsidR="00CB2680" w:rsidRDefault="00541167" w:rsidP="00FB641A">
      <w:pPr>
        <w:pStyle w:val="Corpodetexto31"/>
        <w:tabs>
          <w:tab w:val="left" w:pos="4962"/>
        </w:tabs>
        <w:spacing w:before="0"/>
        <w:ind w:left="992" w:hanging="992"/>
        <w:rPr>
          <w:rFonts w:cs="Arial"/>
        </w:rPr>
      </w:pPr>
      <w:r>
        <w:rPr>
          <w:rFonts w:cs="Arial"/>
        </w:rPr>
        <w:tab/>
      </w:r>
    </w:p>
    <w:p w14:paraId="60405E0E" w14:textId="2E641AA9" w:rsidR="00541167" w:rsidRDefault="00EA02DB"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r w:rsidR="00CB2680">
        <w:rPr>
          <w:rFonts w:cs="Arial"/>
          <w:b/>
          <w:szCs w:val="22"/>
        </w:rPr>
        <w:t>:</w:t>
      </w:r>
    </w:p>
    <w:p w14:paraId="5C8F27EB" w14:textId="77777777" w:rsidR="00EA02DB" w:rsidRDefault="00EA02DB" w:rsidP="00FB641A">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Regular a pressão de ar entre 45 a 50 lbs/pol</w:t>
      </w:r>
    </w:p>
    <w:p w14:paraId="28C59FD0" w14:textId="77777777" w:rsidR="00541167" w:rsidRDefault="00541167" w:rsidP="00541167">
      <w:pPr>
        <w:pStyle w:val="Corpodetexto31"/>
        <w:tabs>
          <w:tab w:val="left" w:pos="4962"/>
        </w:tabs>
        <w:spacing w:before="0"/>
        <w:ind w:left="992" w:hanging="992"/>
        <w:rPr>
          <w:rFonts w:cs="Arial"/>
        </w:rPr>
      </w:pPr>
    </w:p>
    <w:p w14:paraId="32671AA0" w14:textId="7204B96E"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EA02DB">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15EAF6A4" w14:textId="77777777" w:rsidR="00EA02DB" w:rsidRPr="00541167" w:rsidRDefault="00EA02DB" w:rsidP="00541167">
      <w:pPr>
        <w:pStyle w:val="Corpodetexto31"/>
        <w:tabs>
          <w:tab w:val="left" w:pos="4962"/>
        </w:tabs>
        <w:spacing w:before="0"/>
        <w:ind w:left="992" w:hanging="992"/>
        <w:rPr>
          <w:rFonts w:cs="Arial"/>
          <w:b/>
          <w:bCs/>
          <w:szCs w:val="22"/>
        </w:rPr>
      </w:pPr>
    </w:p>
    <w:p w14:paraId="46A5FADF" w14:textId="3A4AB895"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r w:rsidR="00EA02DB">
        <w:rPr>
          <w:rFonts w:cs="Arial"/>
          <w:b/>
          <w:bCs/>
        </w:rPr>
        <w:t>:</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r w:rsidR="00E74FF2" w:rsidRPr="00541167">
        <w:rPr>
          <w:rFonts w:cs="Arial"/>
        </w:rPr>
        <w:t>Subp</w:t>
      </w:r>
      <w:r w:rsidR="00541167">
        <w:rPr>
          <w:rFonts w:cs="Arial"/>
        </w:rPr>
        <w:t>ó</w:t>
      </w:r>
      <w:r w:rsidR="00E74FF2" w:rsidRPr="00541167">
        <w:rPr>
          <w:rFonts w:cs="Arial"/>
        </w:rPr>
        <w:t>rtico</w:t>
      </w:r>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Subp</w:t>
      </w:r>
      <w:r>
        <w:rPr>
          <w:rFonts w:cs="Arial"/>
        </w:rPr>
        <w:t>ó</w:t>
      </w:r>
      <w:r w:rsidR="00B46470" w:rsidRPr="00541167">
        <w:rPr>
          <w:rFonts w:cs="Arial"/>
        </w:rPr>
        <w:t>rtico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lastRenderedPageBreak/>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Pr="00E67741" w:rsidRDefault="00E67741"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C43209">
        <w:rPr>
          <w:rFonts w:cs="Arial"/>
          <w:b/>
          <w:bCs/>
          <w:szCs w:val="22"/>
        </w:rPr>
        <w:t>MxDIA: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r w:rsidR="00C43209">
        <w:rPr>
          <w:rFonts w:cs="Arial"/>
          <w:b/>
          <w:bCs/>
          <w:szCs w:val="22"/>
        </w:rPr>
        <w:t>MxDIA</w:t>
      </w:r>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11FA4F8B"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ARTs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3F6F9DB2" w14:textId="77777777" w:rsidR="00205B87" w:rsidRDefault="00205B87" w:rsidP="0019558F">
      <w:pPr>
        <w:pStyle w:val="Corpodetexto31"/>
        <w:tabs>
          <w:tab w:val="left" w:pos="4962"/>
        </w:tabs>
        <w:spacing w:before="0"/>
        <w:ind w:left="992" w:hanging="992"/>
        <w:rPr>
          <w:rFonts w:cs="Arial"/>
          <w:b/>
          <w:bCs/>
          <w:szCs w:val="22"/>
        </w:rPr>
      </w:pPr>
    </w:p>
    <w:p w14:paraId="6E711906" w14:textId="77777777" w:rsidR="007C1D1A" w:rsidRDefault="007C1D1A" w:rsidP="0019558F">
      <w:pPr>
        <w:pStyle w:val="Corpodetexto31"/>
        <w:tabs>
          <w:tab w:val="left" w:pos="4962"/>
        </w:tabs>
        <w:spacing w:before="0"/>
        <w:ind w:left="992" w:hanging="992"/>
        <w:rPr>
          <w:rFonts w:cs="Arial"/>
          <w:b/>
          <w:bCs/>
          <w:szCs w:val="22"/>
        </w:rPr>
      </w:pPr>
    </w:p>
    <w:p w14:paraId="5CFF8AA8" w14:textId="77777777" w:rsidR="007C1D1A" w:rsidRPr="0019558F" w:rsidRDefault="007C1D1A" w:rsidP="00FB641A">
      <w:pPr>
        <w:pStyle w:val="Corpodetexto31"/>
        <w:tabs>
          <w:tab w:val="left" w:pos="4962"/>
        </w:tabs>
        <w:spacing w:before="0"/>
        <w:rPr>
          <w:rFonts w:cs="Arial"/>
          <w:b/>
          <w:bCs/>
          <w:szCs w:val="22"/>
        </w:rPr>
      </w:pP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6A5C4EB0"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7777777"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lastRenderedPageBreak/>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lastRenderedPageBreak/>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Default="003A3698" w:rsidP="00636FCE">
      <w:pPr>
        <w:pStyle w:val="Corpodetexto31"/>
        <w:tabs>
          <w:tab w:val="left" w:pos="4962"/>
        </w:tabs>
        <w:spacing w:before="0"/>
        <w:ind w:left="992" w:hanging="992"/>
        <w:rPr>
          <w:rFonts w:cs="Arial"/>
          <w:b/>
          <w:szCs w:val="22"/>
        </w:rPr>
      </w:pPr>
    </w:p>
    <w:p w14:paraId="64DC5BC4" w14:textId="77777777" w:rsidR="00EA02DB" w:rsidRDefault="00EA02DB" w:rsidP="00636FCE">
      <w:pPr>
        <w:pStyle w:val="Corpodetexto31"/>
        <w:tabs>
          <w:tab w:val="left" w:pos="4962"/>
        </w:tabs>
        <w:spacing w:before="0"/>
        <w:ind w:left="992" w:hanging="992"/>
        <w:rPr>
          <w:rFonts w:cs="Arial"/>
          <w:b/>
          <w:szCs w:val="22"/>
        </w:rPr>
      </w:pPr>
    </w:p>
    <w:p w14:paraId="05A2C1ED" w14:textId="77777777" w:rsidR="00EA02DB" w:rsidRPr="00636FCE" w:rsidRDefault="00EA02DB"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6A9D5D3E"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636FCE">
        <w:rPr>
          <w:rFonts w:cs="Arial"/>
          <w:i w:val="0"/>
          <w:iCs/>
          <w:sz w:val="22"/>
          <w:szCs w:val="22"/>
        </w:rPr>
        <w:t xml:space="preserve">ANEXO II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609B8612" w14:textId="77777777" w:rsidR="00EA02DB" w:rsidRDefault="00EA02DB"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Possibilidade de execução de serviços em regime 24h. Contratação de seguro. Risco de Engenharia ou outros com cobertura acessória específica. </w:t>
            </w:r>
            <w:r w:rsidRPr="00D313E5">
              <w:rPr>
                <w:rFonts w:ascii="Arial" w:eastAsia="Arial Unicode MS" w:hAnsi="Arial" w:cs="Arial"/>
                <w:kern w:val="3"/>
                <w:sz w:val="16"/>
                <w:szCs w:val="16"/>
              </w:rPr>
              <w:lastRenderedPageBreak/>
              <w:t>Capacitação da equipe e observação às normas de segurança. Aditivo 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Fornecer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BC2E4" w14:textId="77777777" w:rsidR="00290CB1" w:rsidRDefault="00290CB1">
      <w:r>
        <w:separator/>
      </w:r>
    </w:p>
  </w:endnote>
  <w:endnote w:type="continuationSeparator" w:id="0">
    <w:p w14:paraId="6F9216A0" w14:textId="77777777" w:rsidR="00290CB1" w:rsidRDefault="0029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65DAF908"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.1</w:t>
    </w:r>
    <w:r w:rsidR="003E5A91">
      <w:rPr>
        <w:rFonts w:ascii="Arial" w:hAnsi="Arial" w:cs="Arial"/>
        <w:sz w:val="16"/>
        <w:szCs w:val="16"/>
      </w:rPr>
      <w:tab/>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DF43" w14:textId="77777777" w:rsidR="00290CB1" w:rsidRDefault="00290CB1">
      <w:r>
        <w:separator/>
      </w:r>
    </w:p>
  </w:footnote>
  <w:footnote w:type="continuationSeparator" w:id="0">
    <w:p w14:paraId="6C18E6B3" w14:textId="77777777" w:rsidR="00290CB1" w:rsidRDefault="00290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3"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6"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423067181">
    <w:abstractNumId w:val="0"/>
  </w:num>
  <w:num w:numId="2" w16cid:durableId="873006426">
    <w:abstractNumId w:val="13"/>
  </w:num>
  <w:num w:numId="3" w16cid:durableId="1135415566">
    <w:abstractNumId w:val="27"/>
  </w:num>
  <w:num w:numId="4" w16cid:durableId="482352972">
    <w:abstractNumId w:val="22"/>
  </w:num>
  <w:num w:numId="5" w16cid:durableId="1720475943">
    <w:abstractNumId w:val="8"/>
  </w:num>
  <w:num w:numId="6" w16cid:durableId="140658690">
    <w:abstractNumId w:val="10"/>
  </w:num>
  <w:num w:numId="7" w16cid:durableId="1629512160">
    <w:abstractNumId w:val="11"/>
  </w:num>
  <w:num w:numId="8" w16cid:durableId="2012875950">
    <w:abstractNumId w:val="26"/>
  </w:num>
  <w:num w:numId="9" w16cid:durableId="1143734708">
    <w:abstractNumId w:val="15"/>
  </w:num>
  <w:num w:numId="10" w16cid:durableId="611209262">
    <w:abstractNumId w:val="12"/>
  </w:num>
  <w:num w:numId="11" w16cid:durableId="425618352">
    <w:abstractNumId w:val="1"/>
  </w:num>
  <w:num w:numId="12" w16cid:durableId="206256349">
    <w:abstractNumId w:val="2"/>
  </w:num>
  <w:num w:numId="13" w16cid:durableId="512495907">
    <w:abstractNumId w:val="3"/>
  </w:num>
  <w:num w:numId="14" w16cid:durableId="2042168480">
    <w:abstractNumId w:val="20"/>
  </w:num>
  <w:num w:numId="15" w16cid:durableId="977341336">
    <w:abstractNumId w:val="21"/>
  </w:num>
  <w:num w:numId="16" w16cid:durableId="1044794356">
    <w:abstractNumId w:val="14"/>
    <w:lvlOverride w:ilvl="0">
      <w:startOverride w:val="1"/>
    </w:lvlOverride>
  </w:num>
  <w:num w:numId="17" w16cid:durableId="1779175017">
    <w:abstractNumId w:val="9"/>
  </w:num>
  <w:num w:numId="18" w16cid:durableId="788209253">
    <w:abstractNumId w:val="18"/>
  </w:num>
  <w:num w:numId="19" w16cid:durableId="301691904">
    <w:abstractNumId w:val="5"/>
  </w:num>
  <w:num w:numId="20" w16cid:durableId="2029990845">
    <w:abstractNumId w:val="19"/>
  </w:num>
  <w:num w:numId="21" w16cid:durableId="1251356203">
    <w:abstractNumId w:val="7"/>
  </w:num>
  <w:num w:numId="22" w16cid:durableId="186332338">
    <w:abstractNumId w:val="17"/>
  </w:num>
  <w:num w:numId="23" w16cid:durableId="1030765510">
    <w:abstractNumId w:val="17"/>
  </w:num>
  <w:num w:numId="24" w16cid:durableId="2145391889">
    <w:abstractNumId w:val="17"/>
  </w:num>
  <w:num w:numId="25" w16cid:durableId="1615671530">
    <w:abstractNumId w:val="17"/>
  </w:num>
  <w:num w:numId="26" w16cid:durableId="1858231111">
    <w:abstractNumId w:val="25"/>
  </w:num>
  <w:num w:numId="27" w16cid:durableId="1534345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7"/>
  </w:num>
  <w:num w:numId="29" w16cid:durableId="353531161">
    <w:abstractNumId w:val="6"/>
  </w:num>
  <w:num w:numId="30" w16cid:durableId="1092623526">
    <w:abstractNumId w:val="17"/>
  </w:num>
  <w:num w:numId="31" w16cid:durableId="1861506096">
    <w:abstractNumId w:val="17"/>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7"/>
  </w:num>
  <w:num w:numId="35" w16cid:durableId="1361395029">
    <w:abstractNumId w:val="16"/>
  </w:num>
  <w:num w:numId="36" w16cid:durableId="31013920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4195"/>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3F4"/>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2742A"/>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6FA3"/>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23E4"/>
    <w:rsid w:val="001F42CF"/>
    <w:rsid w:val="001F466F"/>
    <w:rsid w:val="001F4D59"/>
    <w:rsid w:val="001F66F5"/>
    <w:rsid w:val="00201EB1"/>
    <w:rsid w:val="00205B87"/>
    <w:rsid w:val="00207B27"/>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CB1"/>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863"/>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4CF8"/>
    <w:rsid w:val="00605B08"/>
    <w:rsid w:val="00605B7E"/>
    <w:rsid w:val="00605B86"/>
    <w:rsid w:val="00606096"/>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4C74"/>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5388"/>
    <w:rsid w:val="006C668C"/>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2CE7"/>
    <w:rsid w:val="007131C5"/>
    <w:rsid w:val="00713306"/>
    <w:rsid w:val="00713D2C"/>
    <w:rsid w:val="00714F92"/>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3A51"/>
    <w:rsid w:val="007F3D0E"/>
    <w:rsid w:val="007F463E"/>
    <w:rsid w:val="007F67C4"/>
    <w:rsid w:val="007F6BEF"/>
    <w:rsid w:val="007F77B5"/>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1F76"/>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041C"/>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43F"/>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6E62"/>
    <w:rsid w:val="00CA7553"/>
    <w:rsid w:val="00CA7F6B"/>
    <w:rsid w:val="00CB0355"/>
    <w:rsid w:val="00CB1043"/>
    <w:rsid w:val="00CB15B6"/>
    <w:rsid w:val="00CB1611"/>
    <w:rsid w:val="00CB2680"/>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1E91"/>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359F"/>
    <w:rsid w:val="00D941C0"/>
    <w:rsid w:val="00D94611"/>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6F54"/>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7C3"/>
    <w:rsid w:val="00E83F6F"/>
    <w:rsid w:val="00E868E9"/>
    <w:rsid w:val="00E90725"/>
    <w:rsid w:val="00E9246A"/>
    <w:rsid w:val="00E9366E"/>
    <w:rsid w:val="00E96012"/>
    <w:rsid w:val="00E97A18"/>
    <w:rsid w:val="00EA02DB"/>
    <w:rsid w:val="00EA08DB"/>
    <w:rsid w:val="00EA0EB3"/>
    <w:rsid w:val="00EA0F1F"/>
    <w:rsid w:val="00EA1BFF"/>
    <w:rsid w:val="00EA1C1C"/>
    <w:rsid w:val="00EA3400"/>
    <w:rsid w:val="00EA34B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3E4B"/>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2.xml><?xml version="1.0" encoding="utf-8"?>
<ds:datastoreItem xmlns:ds="http://schemas.openxmlformats.org/officeDocument/2006/customXml" ds:itemID="{07FBCE71-2C08-43CD-B81F-A88030EFF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16</Pages>
  <Words>6149</Words>
  <Characters>33206</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Karina Oliveira Engrazia</cp:lastModifiedBy>
  <cp:revision>103</cp:revision>
  <cp:lastPrinted>2022-01-26T20:33:00Z</cp:lastPrinted>
  <dcterms:created xsi:type="dcterms:W3CDTF">2023-05-22T19:35:00Z</dcterms:created>
  <dcterms:modified xsi:type="dcterms:W3CDTF">2024-12-17T18:41:00Z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